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7" w:rsidRDefault="00211187" w:rsidP="0021118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211187" w:rsidRDefault="00211187" w:rsidP="00211187">
      <w:pPr>
        <w:ind w:left="5670"/>
      </w:pPr>
      <w:r>
        <w:rPr>
          <w:sz w:val="22"/>
          <w:szCs w:val="22"/>
        </w:rPr>
        <w:t>Председателю Совета</w:t>
      </w:r>
    </w:p>
    <w:p w:rsidR="00211187" w:rsidRDefault="00211187" w:rsidP="0021118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211187" w:rsidRPr="005E37AA" w:rsidRDefault="00211187" w:rsidP="00211187">
      <w:pPr>
        <w:ind w:left="4680"/>
        <w:rPr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11187" w:rsidRDefault="00211187" w:rsidP="00211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211187" w:rsidRDefault="00211187" w:rsidP="00211187">
      <w:pPr>
        <w:rPr>
          <w:sz w:val="22"/>
          <w:szCs w:val="22"/>
        </w:rPr>
      </w:pPr>
    </w:p>
    <w:p w:rsidR="00211187" w:rsidRDefault="00211187" w:rsidP="0021118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211187" w:rsidRDefault="00211187" w:rsidP="002111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11187" w:rsidRPr="005E37AA" w:rsidRDefault="00211187" w:rsidP="00211187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11187" w:rsidRDefault="00211187" w:rsidP="00211187">
      <w:pPr>
        <w:rPr>
          <w:sz w:val="22"/>
          <w:szCs w:val="22"/>
        </w:rPr>
      </w:pPr>
    </w:p>
    <w:p w:rsidR="00211187" w:rsidRPr="005E37AA" w:rsidRDefault="00211187" w:rsidP="00211187">
      <w:pPr>
        <w:pStyle w:val="a3"/>
        <w:tabs>
          <w:tab w:val="left" w:pos="142"/>
        </w:tabs>
        <w:rPr>
          <w:sz w:val="8"/>
          <w:szCs w:val="8"/>
        </w:rPr>
      </w:pPr>
      <w:r w:rsidRPr="009C52BD">
        <w:rPr>
          <w:rFonts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>
        <w:rPr>
          <w:rFonts w:cs="Times New Roman"/>
          <w:b/>
        </w:rPr>
        <w:t>Адрес</w:t>
      </w:r>
      <w:r w:rsidRPr="00A406A0">
        <w:rPr>
          <w:rFonts w:cs="Times New Roman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211187" w:rsidRPr="006763EA" w:rsidRDefault="00211187" w:rsidP="00211187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D3613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150F2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211187" w:rsidRDefault="00211187" w:rsidP="00211187">
      <w:pPr>
        <w:pStyle w:val="a7"/>
        <w:tabs>
          <w:tab w:val="left" w:pos="142"/>
        </w:tabs>
        <w:jc w:val="both"/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211187" w:rsidRPr="003415BB" w:rsidRDefault="00211187" w:rsidP="00211187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211187" w:rsidRPr="003415BB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211187" w:rsidRDefault="00211187" w:rsidP="002111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11187" w:rsidRDefault="00211187" w:rsidP="00211187">
      <w:pPr>
        <w:ind w:firstLine="709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211187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211187" w:rsidRPr="00761974" w:rsidRDefault="00211187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Pr="00761974" w:rsidRDefault="00211187" w:rsidP="0021118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11187" w:rsidRPr="000B37B5" w:rsidRDefault="00211187" w:rsidP="002111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11187" w:rsidRPr="00761974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11187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ind w:left="57" w:right="57"/>
              <w:jc w:val="center"/>
            </w:pPr>
          </w:p>
          <w:p w:rsidR="00211187" w:rsidRDefault="00211187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11187" w:rsidRPr="00164345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11187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Заявитель гарантирует оплату в полном объеме: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211187" w:rsidRDefault="00211187" w:rsidP="00211187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lastRenderedPageBreak/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Заявитель обязуется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</w:t>
      </w:r>
      <w:proofErr w:type="gramEnd"/>
      <w:r w:rsidRPr="00EE7888">
        <w:rPr>
          <w:sz w:val="22"/>
          <w:szCs w:val="22"/>
        </w:rPr>
        <w:t xml:space="preserve">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 xml:space="preserve">, что не является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211187" w:rsidRPr="005E37AA" w:rsidRDefault="00211187" w:rsidP="0021118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11187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211187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:rsidR="00211187" w:rsidRPr="005E37AA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:rsidR="00211187" w:rsidRDefault="00211187" w:rsidP="00211187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87"/>
    <w:rsid w:val="00211187"/>
    <w:rsid w:val="002707F4"/>
    <w:rsid w:val="00497E53"/>
    <w:rsid w:val="009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21118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2111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211187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211187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211187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211187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2</cp:revision>
  <dcterms:created xsi:type="dcterms:W3CDTF">2020-10-19T14:15:00Z</dcterms:created>
  <dcterms:modified xsi:type="dcterms:W3CDTF">2020-10-19T14:16:00Z</dcterms:modified>
</cp:coreProperties>
</file>